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BE0F7B" w:rsidRDefault="00BE0F7B" w:rsidP="00BE0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E0F7B" w:rsidRPr="002F5BFC" w:rsidRDefault="00BE0F7B" w:rsidP="00BE0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5BFC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 О применении НПД при предоставлении в аренду транспортного средства без экипажа.</w:t>
      </w:r>
    </w:p>
    <w:p w:rsidR="00BE0F7B" w:rsidRPr="002F5BFC" w:rsidRDefault="00BE0F7B" w:rsidP="00BE0F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BE0F7B" w:rsidRPr="002F5BFC" w:rsidRDefault="00BE0F7B" w:rsidP="00BE0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5BFC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BE0F7B" w:rsidRPr="002F5BFC" w:rsidRDefault="00BE0F7B" w:rsidP="00BE0F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2F5BFC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Федеральный закон) с 1 января 2019 года по 31 декабря 2028 года проводится эксперимент по установлению специального налогового режима "Налог на профессиональный доход" (далее - НПД).</w:t>
      </w:r>
    </w:p>
    <w:p w:rsidR="00BE0F7B" w:rsidRPr="002F5BFC" w:rsidRDefault="00B67D8E" w:rsidP="00BE0F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1" w:history="1">
        <w:r w:rsidR="00BE0F7B" w:rsidRPr="002F5BFC">
          <w:rPr>
            <w:rFonts w:ascii="Arial" w:hAnsi="Arial" w:cs="Arial"/>
            <w:color w:val="000000" w:themeColor="text1"/>
            <w:sz w:val="28"/>
            <w:szCs w:val="28"/>
          </w:rPr>
          <w:t>Частью 1 статьи 4</w:t>
        </w:r>
      </w:hyperlink>
      <w:r w:rsidR="00BE0F7B" w:rsidRPr="002F5BFC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установлено, что налогоплательщиками НПД признаются физические лица, в том числе индивидуальные предприниматели, перешедшие на специальный налоговый режим НПД в порядке, установленном названным Федеральным законом.</w:t>
      </w:r>
    </w:p>
    <w:p w:rsidR="00BE0F7B" w:rsidRPr="002F5BFC" w:rsidRDefault="00BE0F7B" w:rsidP="00BE0F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Ограничения, связанные с применением Федерального </w:t>
      </w:r>
      <w:hyperlink r:id="rId12" w:history="1">
        <w:r w:rsidRPr="002F5BFC">
          <w:rPr>
            <w:rFonts w:ascii="Arial" w:hAnsi="Arial" w:cs="Arial"/>
            <w:color w:val="000000" w:themeColor="text1"/>
            <w:sz w:val="28"/>
            <w:szCs w:val="28"/>
          </w:rPr>
          <w:t>закона</w:t>
        </w:r>
      </w:hyperlink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, установлены </w:t>
      </w:r>
      <w:hyperlink r:id="rId13" w:history="1">
        <w:r w:rsidRPr="002F5BFC">
          <w:rPr>
            <w:rFonts w:ascii="Arial" w:hAnsi="Arial" w:cs="Arial"/>
            <w:color w:val="000000" w:themeColor="text1"/>
            <w:sz w:val="28"/>
            <w:szCs w:val="28"/>
          </w:rPr>
          <w:t>частью 2 статьи 4</w:t>
        </w:r>
      </w:hyperlink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14" w:history="1">
        <w:r w:rsidRPr="002F5BFC">
          <w:rPr>
            <w:rFonts w:ascii="Arial" w:hAnsi="Arial" w:cs="Arial"/>
            <w:color w:val="000000" w:themeColor="text1"/>
            <w:sz w:val="28"/>
            <w:szCs w:val="28"/>
          </w:rPr>
          <w:t>частью 2 статьи 6</w:t>
        </w:r>
      </w:hyperlink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 указанного Федерального закона.</w:t>
      </w:r>
    </w:p>
    <w:p w:rsidR="00BE0F7B" w:rsidRPr="002F5BFC" w:rsidRDefault="00BE0F7B" w:rsidP="00BE0F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Положения Федерального </w:t>
      </w:r>
      <w:hyperlink r:id="rId15" w:history="1">
        <w:r w:rsidRPr="002F5BFC">
          <w:rPr>
            <w:rFonts w:ascii="Arial" w:hAnsi="Arial" w:cs="Arial"/>
            <w:color w:val="000000" w:themeColor="text1"/>
            <w:sz w:val="28"/>
            <w:szCs w:val="28"/>
          </w:rPr>
          <w:t>закона</w:t>
        </w:r>
      </w:hyperlink>
      <w:r w:rsidRPr="002F5BFC">
        <w:rPr>
          <w:rFonts w:ascii="Arial" w:hAnsi="Arial" w:cs="Arial"/>
          <w:color w:val="000000" w:themeColor="text1"/>
          <w:sz w:val="28"/>
          <w:szCs w:val="28"/>
        </w:rPr>
        <w:t xml:space="preserve"> не предусматривают запрета на применение специального налогового режима НПД для физических лиц, в том числе индивидуальных предпринимателей, осуществляющих деятельность по предоставлению в аренду транспортного средства без экипажа как физическим, так и юридическим лицам, при условии соблюдения норм указанного Федерального </w:t>
      </w:r>
      <w:hyperlink r:id="rId16" w:history="1">
        <w:r w:rsidRPr="002F5BFC">
          <w:rPr>
            <w:rFonts w:ascii="Arial" w:hAnsi="Arial" w:cs="Arial"/>
            <w:color w:val="000000" w:themeColor="text1"/>
            <w:sz w:val="28"/>
            <w:szCs w:val="28"/>
          </w:rPr>
          <w:t>закона</w:t>
        </w:r>
      </w:hyperlink>
      <w:r w:rsidRPr="002F5BF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E0F7B" w:rsidRPr="002F5BFC" w:rsidRDefault="00BE0F7B" w:rsidP="00BE0F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BE0F7B" w:rsidRPr="002F5BFC" w:rsidRDefault="00BE0F7B" w:rsidP="00BE0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867FB" w:rsidRPr="002F5BFC" w:rsidRDefault="00BE0F7B" w:rsidP="00BE0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2F5BFC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Основание:</w:t>
      </w:r>
      <w:r w:rsidRPr="002F5BFC">
        <w:rPr>
          <w:b/>
          <w:color w:val="000000" w:themeColor="text1"/>
          <w:sz w:val="28"/>
          <w:szCs w:val="28"/>
        </w:rPr>
        <w:t xml:space="preserve"> </w:t>
      </w:r>
      <w:r w:rsidRPr="002F5BFC">
        <w:rPr>
          <w:rFonts w:ascii="Arial" w:hAnsi="Arial" w:cs="Arial"/>
          <w:b/>
          <w:color w:val="000000" w:themeColor="text1"/>
          <w:sz w:val="28"/>
          <w:szCs w:val="28"/>
        </w:rPr>
        <w:t>Письмо Минфина России от 17.02.2020 N 03-11-11/10799</w:t>
      </w:r>
    </w:p>
    <w:sectPr w:rsidR="00D867FB" w:rsidRPr="002F5BFC" w:rsidSect="00156A6E">
      <w:footerReference w:type="default" r:id="rId1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16D282C" wp14:editId="03AB0178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2F5BFC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67D8E"/>
    <w:rsid w:val="00B748DF"/>
    <w:rsid w:val="00B74F98"/>
    <w:rsid w:val="00B83C47"/>
    <w:rsid w:val="00B8630C"/>
    <w:rsid w:val="00BA01D7"/>
    <w:rsid w:val="00BD0CFB"/>
    <w:rsid w:val="00BD1C8E"/>
    <w:rsid w:val="00BE0F7B"/>
    <w:rsid w:val="00C11B32"/>
    <w:rsid w:val="00C131E4"/>
    <w:rsid w:val="00C35943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867FB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CB98D5603516A57FCE50CF114306CC93204C0B6E518058743F322961F56988C961346B39164F93ED415FEE07E25E9BB5CA912D8046B7BDR6m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CB98D5603516A57FCE50CF114306CC93204C0B6E518058743F322961F56988DB616C67391E5191EB5409BF41RBm6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CB98D5603516A57FCE50CF114306CC93204C0B6E518058743F322961F56988DB616C67391E5191EB5409BF41RBm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CB98D5603516A57FCE50CF114306CC93204C0B6E518058743F322961F56988C961346B39164F93EE415FEE07E25E9BB5CA912D8046B7BDR6m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CB98D5603516A57FCE50CF114306CC93204C0B6E518058743F322961F56988DB616C67391E5191EB5409BF41RBm6G" TargetMode="External"/><Relationship Id="rId10" Type="http://schemas.openxmlformats.org/officeDocument/2006/relationships/hyperlink" Target="consultantplus://offline/ref=E9CB98D5603516A57FCE50CF114306CC93204C0B6E518058743F322961F56988C961346B39164F90E3415FEE07E25E9BB5CA912D8046B7BDR6mC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9CB98D5603516A57FCE50CF114306CC93204C0B6E518058743F322961F56988C961346B39164F96EC415FEE07E25E9BB5CA912D8046B7BDR6mC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2DE1-F69E-4E28-ABCA-0F1B0969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4</cp:revision>
  <cp:lastPrinted>2021-10-13T03:59:00Z</cp:lastPrinted>
  <dcterms:created xsi:type="dcterms:W3CDTF">2021-10-08T06:39:00Z</dcterms:created>
  <dcterms:modified xsi:type="dcterms:W3CDTF">2021-10-13T04:03:00Z</dcterms:modified>
</cp:coreProperties>
</file>